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6345"/>
        <w:gridCol w:w="4395"/>
      </w:tblGrid>
      <w:tr>
        <w:tblPrEx/>
        <w:trPr>
          <w:trHeight w:val="2055"/>
        </w:trPr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ТЗ.0002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  <w:tc>
          <w:tcPr>
            <w:tcW w:w="439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УТВЕРЖДАЮ: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Начальник управления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корпоративных и технологических автоматизированных систем 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управления АО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Россети Сибирь 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Тываэнерго»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______________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О.А. Мамонтова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________________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 xml:space="preserve">проведение </w:t>
      </w:r>
      <w:r>
        <w:rPr>
          <w:rFonts w:ascii="Times New Roman" w:hAnsi="Times New Roman"/>
          <w:sz w:val="26"/>
          <w:szCs w:val="26"/>
        </w:rPr>
        <w:t xml:space="preserve">закупки на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поставк</w:t>
      </w:r>
      <w:r>
        <w:rPr>
          <w:rFonts w:ascii="Times New Roman" w:hAnsi="Times New Roman"/>
          <w:sz w:val="26"/>
          <w:szCs w:val="26"/>
        </w:rPr>
        <w:t xml:space="preserve">у </w:t>
      </w:r>
      <w:r>
        <w:rPr>
          <w:rFonts w:ascii="Times New Roman" w:hAnsi="Times New Roman" w:eastAsia="Times New Roman"/>
          <w:sz w:val="26"/>
          <w:szCs w:val="26"/>
        </w:rPr>
        <w:t xml:space="preserve">интерактивного оборудования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89"/>
        <w:numPr>
          <w:ilvl w:val="0"/>
          <w:numId w:val="9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положения.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889"/>
        <w:ind w:left="106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1.1 Заказчик: </w:t>
      </w:r>
      <w:r>
        <w:rPr>
          <w:rFonts w:ascii="Times New Roman" w:hAnsi="Times New Roman" w:eastAsia="Times New Roman"/>
          <w:sz w:val="26"/>
          <w:szCs w:val="26"/>
        </w:rPr>
        <w:t xml:space="preserve">АО </w:t>
      </w:r>
      <w:r>
        <w:rPr>
          <w:rFonts w:ascii="Times New Roman" w:hAnsi="Times New Roman" w:eastAsia="Times New Roman"/>
          <w:sz w:val="26"/>
          <w:szCs w:val="26"/>
        </w:rPr>
        <w:t xml:space="preserve">«</w:t>
      </w:r>
      <w:r>
        <w:rPr>
          <w:rFonts w:ascii="Times New Roman" w:hAnsi="Times New Roman" w:eastAsia="Times New Roman"/>
          <w:sz w:val="26"/>
          <w:szCs w:val="26"/>
        </w:rPr>
        <w:t xml:space="preserve">Россети Сибирь </w:t>
      </w:r>
      <w:r>
        <w:rPr>
          <w:rFonts w:ascii="Times New Roman" w:hAnsi="Times New Roman" w:eastAsia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/>
          <w:sz w:val="26"/>
          <w:szCs w:val="26"/>
        </w:rPr>
        <w:t xml:space="preserve">».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highlight w:val="white"/>
        </w:rPr>
      </w:pPr>
      <w:r>
        <w:rPr>
          <w:rFonts w:ascii="Times New Roman" w:hAnsi="Times New Roman" w:eastAsia="Times New Roman"/>
          <w:sz w:val="26"/>
          <w:szCs w:val="26"/>
        </w:rPr>
        <w:t xml:space="preserve">1.2</w:t>
      </w:r>
      <w:r>
        <w:rPr>
          <w:rFonts w:ascii="Times New Roman" w:hAnsi="Times New Roman" w:eastAsia="Times New Roman"/>
          <w:sz w:val="26"/>
          <w:szCs w:val="26"/>
        </w:rPr>
        <w:t xml:space="preserve"> </w:t>
      </w:r>
      <w:r>
        <w:rPr>
          <w:rFonts w:ascii="Times New Roman" w:hAnsi="Times New Roman" w:eastAsia="Times New Roman"/>
          <w:sz w:val="26"/>
          <w:szCs w:val="26"/>
        </w:rPr>
        <w:t xml:space="preserve">Предмет зак</w:t>
      </w:r>
      <w:r>
        <w:rPr>
          <w:rFonts w:ascii="Times New Roman" w:hAnsi="Times New Roman" w:eastAsia="Times New Roman"/>
          <w:sz w:val="26"/>
          <w:szCs w:val="26"/>
        </w:rPr>
        <w:t xml:space="preserve">упки:</w:t>
      </w:r>
      <w:r>
        <w:rPr>
          <w:rFonts w:ascii="Times New Roman" w:hAnsi="Times New Roman" w:eastAsia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Поставка интерактивного оборудования</w:t>
      </w:r>
      <w:r>
        <w:rPr>
          <w:rFonts w:ascii="Times New Roman" w:hAnsi="Times New Roman"/>
          <w:color w:val="000000" w:themeColor="text1"/>
          <w:sz w:val="26"/>
          <w:szCs w:val="26"/>
          <w:highlight w:val="white"/>
        </w:rPr>
      </w:r>
      <w:r>
        <w:rPr>
          <w:rFonts w:ascii="Times New Roman" w:hAnsi="Times New Roman"/>
          <w:color w:val="000000" w:themeColor="text1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89"/>
        <w:numPr>
          <w:ilvl w:val="0"/>
          <w:numId w:val="9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Место, срок и условия поставки</w:t>
      </w:r>
      <w:r>
        <w:rPr>
          <w:b/>
          <w:bCs/>
          <w:sz w:val="26"/>
          <w:szCs w:val="26"/>
        </w:rPr>
        <w:t xml:space="preserve"> Продукции</w:t>
      </w:r>
      <w:r>
        <w:rPr>
          <w:b/>
          <w:bCs/>
          <w:sz w:val="26"/>
          <w:szCs w:val="26"/>
        </w:rPr>
        <w:t xml:space="preserve">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889"/>
        <w:ind w:left="106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2.1 Место поставки:</w:t>
      </w:r>
      <w:r>
        <w:rPr>
          <w:rFonts w:ascii="Times New Roman" w:hAnsi="Times New Roman" w:eastAsia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Республика Тыва, г. Кызыл, ул. Колхозная, д. 2</w:t>
      </w:r>
      <w:r>
        <w:rPr>
          <w:rFonts w:ascii="Times New Roman" w:hAnsi="Times New Roman" w:eastAsia="Times New Roman"/>
          <w:sz w:val="26"/>
          <w:szCs w:val="26"/>
        </w:rPr>
        <w:t xml:space="preserve">б</w:t>
      </w:r>
      <w:r>
        <w:rPr>
          <w:rFonts w:ascii="Times New Roman" w:hAnsi="Times New Roman" w:eastAsia="Times New Roman"/>
          <w:sz w:val="26"/>
          <w:szCs w:val="26"/>
        </w:rPr>
        <w:t xml:space="preserve">, Центральный склад АО «</w:t>
      </w:r>
      <w:r>
        <w:rPr>
          <w:rFonts w:ascii="Times New Roman" w:hAnsi="Times New Roman" w:eastAsia="Times New Roman"/>
          <w:sz w:val="26"/>
          <w:szCs w:val="26"/>
        </w:rPr>
        <w:t xml:space="preserve">Россети Сибирь </w:t>
      </w:r>
      <w:r>
        <w:rPr>
          <w:rFonts w:ascii="Times New Roman" w:hAnsi="Times New Roman" w:eastAsia="Times New Roman"/>
          <w:sz w:val="26"/>
          <w:szCs w:val="26"/>
        </w:rPr>
        <w:t xml:space="preserve">Тываэнерго».</w:t>
      </w:r>
      <w:r>
        <w:rPr>
          <w:rFonts w:ascii="Times New Roman" w:hAnsi="Times New Roman" w:eastAsia="Times New Roman"/>
          <w:sz w:val="26"/>
          <w:szCs w:val="26"/>
        </w:rPr>
        <w:t xml:space="preserve"> 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2.2 </w:t>
      </w:r>
      <w:r>
        <w:rPr>
          <w:rFonts w:ascii="Times New Roman" w:hAnsi="Times New Roman" w:eastAsia="Times New Roman"/>
          <w:sz w:val="26"/>
          <w:szCs w:val="26"/>
        </w:rPr>
        <w:t xml:space="preserve">Пос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тавка Продукции осуществляется автомобильным транспортом или любым иным способом за счет средств Поставщика до места поставки.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оборудования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 документации должны соответствовать требованиям, указанным в технических условиях изготовителя изделия. Порядок отгрузки, специальные требования к таре и упаковке должны быть определены в договоре на поставку оборудования.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 Срок поставки: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Поставка Продукции производится в течение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60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календарных дней с момента заключения договора поставки.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перечень и объемы поставки указаны в приложении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к ТЗ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 продукции включает в себя: в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сборы, расходы на транспортиро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вку продукции до места поставки,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стоимость тары и упак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овки, гарантийные обязательства</w:t>
      </w:r>
      <w:r>
        <w:rPr>
          <w:rFonts w:ascii="Times New Roman" w:hAnsi="Times New Roman" w:eastAsia="Times New Roman" w:cs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зависимости от типа приобретаемой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3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снабжаться идентифицирующей и информационной 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аркировк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ой, обеспечивающей потребителя полной информацией 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Маркировка должна располагаться на продукции или на ее упаковке,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состоять из общепринятых знаков и символов, описательная часть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выполняться на русском языке, иметь четкие обозначения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сохраняться на весь срок службы поставляемой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4.5.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6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2 к настоящему техническому заданию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7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На момент поставки продукция,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указанная в приложении №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техническому заданию с признаком «РЭП», должна быть включена в Единый реестр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российской радиоэлектронной продукции (в соответствии с постановлением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Правительства Российской Федерации от 10.07.2019 № 878). В случае отсутствия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отечественных аналогов продукции в Едином реестре российской радиоэлектронной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продукции, в соответствии с постановлением Правительства Российской Федерации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от 14.06.2023 № 980 должно быть предоставлено заключение Минпромторга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Российской Федерации об отсутствии аналогов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обязан предоставить следующие документы, подтверждающие соответствие продукции установленным требованиям: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5.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Письмо от участника закупки с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подтверждение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срока службы, гарантии и изготовления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/>
          <w:color w:val="000000"/>
          <w:sz w:val="26"/>
          <w:szCs w:val="26"/>
        </w:rPr>
        <w:t xml:space="preserve">5.</w:t>
      </w:r>
      <w:r>
        <w:rPr>
          <w:rFonts w:ascii="Times New Roman" w:hAnsi="Times New Roman" w:eastAsia="Times New Roman" w:cs="Times New Roman"/>
          <w:i/>
          <w:color w:val="000000"/>
          <w:sz w:val="26"/>
          <w:szCs w:val="26"/>
        </w:rPr>
        <w:t xml:space="preserve">2</w:t>
      </w:r>
      <w:r>
        <w:rPr>
          <w:rFonts w:ascii="Times New Roman" w:hAnsi="Times New Roman" w:eastAsia="Times New Roman" w:cs="Times New Roman"/>
          <w:i/>
          <w:color w:val="000000"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Заполненную таблицу соответствия поставляемой продукции установленным требованиям, указанную в приложении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№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2 к ТЗ</w:t>
      </w:r>
      <w:r>
        <w:rPr>
          <w:rFonts w:ascii="Times New Roman" w:hAnsi="Times New Roman" w:eastAsia="Times New Roman" w:cs="Times New Roman"/>
          <w:i/>
          <w:color w:val="000000"/>
          <w:sz w:val="26"/>
          <w:szCs w:val="26"/>
        </w:rPr>
        <w:t xml:space="preserve">.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</w:r>
      <w:r>
        <w:rPr>
          <w:rFonts w:ascii="Times New Roman" w:hAnsi="Times New Roman" w:cs="Times New Roman"/>
          <w:i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(в таблице участником закупки заполняется графа предлагаемые технические характеристики, изменение и удаление участник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ом, установленных в приложении № 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требований, не допускается).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Предлагаемые к поставке материалы, изделия, конструкций и оборудование, должны соответс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твовать требованиям приложения № 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к настоящему ТЗ и действующим в РФ нормативным документам.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полного соответствия предлагаемо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й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6. Гарантийные обязательства.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поставляемые материалы и оборудование должен быть не менее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36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месяцев,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или установленный заводом изготовителем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Время начала исчисления гарантийного срока – с момента поставки продукции на склад Заказчика.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Вся поставляемая продукция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проходит входной контроль, осуществляемый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при получении на склад.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1063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820"/>
        <w:gridCol w:w="1558"/>
        <w:gridCol w:w="2127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48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Ф.И.О.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ачальник УКиТАСУ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Мамонтова О.А.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Приложение</w:t>
      </w:r>
      <w:r>
        <w:rPr>
          <w:rFonts w:ascii="Times New Roman" w:hAnsi="Times New Roman" w:eastAsia="Times New Roman"/>
          <w:sz w:val="26"/>
          <w:szCs w:val="26"/>
        </w:rPr>
        <w:t xml:space="preserve"> № 2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к </w:t>
      </w:r>
      <w:r>
        <w:rPr>
          <w:rFonts w:ascii="Times New Roman" w:hAnsi="Times New Roman" w:eastAsia="Times New Roman"/>
          <w:sz w:val="26"/>
          <w:szCs w:val="26"/>
        </w:rPr>
        <w:t xml:space="preserve">Т</w:t>
      </w:r>
      <w:r>
        <w:rPr>
          <w:rFonts w:ascii="Times New Roman" w:hAnsi="Times New Roman" w:eastAsia="Times New Roman"/>
          <w:sz w:val="26"/>
          <w:szCs w:val="26"/>
        </w:rPr>
        <w:t xml:space="preserve">ехническому заданию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Краткая характеристика и комплектация оборудования</w:t>
      </w:r>
      <w:r>
        <w:rPr>
          <w:rFonts w:ascii="Times New Roman" w:hAnsi="Times New Roman" w:eastAsia="Times New Roman"/>
          <w:b/>
          <w:sz w:val="26"/>
          <w:szCs w:val="26"/>
        </w:rPr>
      </w:r>
      <w:r>
        <w:rPr>
          <w:rFonts w:ascii="Times New Roman" w:hAnsi="Times New Roman" w:eastAsia="Times New Roman"/>
          <w:b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pPr w:horzAnchor="margin" w:tblpXSpec="left" w:vertAnchor="text" w:tblpY="37" w:leftFromText="180" w:topFromText="0" w:rightFromText="180" w:bottomFromText="0"/>
        <w:tblW w:w="1045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455" w:type="dxa"/>
            <w:vAlign w:val="center"/>
            <w:textDirection w:val="lrTb"/>
            <w:noWrap w:val="false"/>
          </w:tcPr>
          <w:p>
            <w:pPr>
              <w:pStyle w:val="889"/>
              <w:numPr>
                <w:ilvl w:val="0"/>
                <w:numId w:val="10"/>
              </w:numPr>
            </w:pPr>
            <w:r>
              <w:rPr>
                <w:color w:val="000000"/>
                <w:sz w:val="20"/>
              </w:rPr>
              <w:t xml:space="preserve">Интерактивный комплекс</w:t>
            </w:r>
            <w:r/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 xml:space="preserve">Вес панели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&lt; 50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Килограмм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 xml:space="preserve">Количество мегапикселей на экране,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 xml:space="preserve">≥ 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 xml:space="preserve">Мпиксель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Высота панели, миллиметр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&lt; 1000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 xml:space="preserve">Количество точек касания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≥ 20 Штука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Безвентиляторное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охлаждение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Версия оперативной памяти DDR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встроенного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вычислительного блока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4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Есть возможность игнорирования касаний экрана ладонью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Есть возможность использования ладони в качестве инструмента стирания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Есть возможность подключения к сети Ethernet беспроводным способом 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Wi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-Fi)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Есть возможность подключения к сети Ethernet проводным способом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Есть возможность удаленного включения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Есть возможность удаленного управления и мониторинга через Ethernet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Есть возможность удаленного управления и мониторинга через RS-232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HDMI входов на лицевой панели для подключения внешних устройств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штука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USB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3.0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входов на лицевой панели для подключения внешних устройств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штука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USB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Type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B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входов на лицевой панели для подключения внешних устройств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штука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USB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Type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C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входов на лицевой панели для подключения внешних устройств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штука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Время отклика матрицы экрана (от серого к серому),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более 8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Время отклика сенсора касания,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более 10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Встроенные функции распознавания объектов касания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Высота срабатывания сенсора от поверхности экрана, миллиметр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более 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входов аудиосигнала линейного уровня, штука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1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входов аудиосигнала микрофонного уровня, штука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1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выходов аудиосигнала, штука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2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антибликового защитного стекла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встроенного вычислительного блока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ядер процессора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встроенного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вычислительного блока, штука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Не менее 4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потоков процессора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встроенного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вычислительного блока, штука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Не менее 8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Базовая тактовая частота процессора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встроенного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вычислительного блока, Гигагерц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Не менее 3.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en-US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0 ГГц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Объем кэш памяти процессора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встроенного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вычислительного блока, Мегабайт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Не менее 12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MB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Тип накопителя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встроенного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вычислительного блока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SSD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ядер процессора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встроенного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вычислительного блока, штука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Не менее 4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встроенной акустической системы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закаленного защитного стекла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интегрированного датчика освещенности для автоматической коррекции яркости подсветки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крепления в комплекте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пульта дистанционного управления в комплекте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слота на корпусе для установки дополнительного вычислительного блока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функции беспроводной передачи изображения с устройств на базе ОС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Android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функции беспроводной передачи изображения с устройств на базе ОС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ChromeOS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функции беспроводной передачи изображения с устройств на базе ОС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MacOS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функции беспроводной передачи изображения с устройств на базе ОС Windows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 функции беспроводной передачи изображения с устройств на базе ОС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iOS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Объем накопителя встроенного вычислительного блока, Гигабайт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500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Гб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Объем оперативной памяти встроенного вычислительного блока, Гигабайт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32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Гб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Поддержка разрешения 3840х2160 пикселей (при 60 Гц)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Размер диагонали, дюйм (25,4 мм)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≥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65 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&lt; 70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Разрешение сенсора касания, миллиметр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более 1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Разрешение экрана по вертикали, пиксель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2100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Пиксель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Разрешение экрана по горизонтали, пиксель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3000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Пиксель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Совместимость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Android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ChromeOS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MacOS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Windows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Статическая контрастность экрана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00:1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Тип подсветки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прямая светодиодная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Тип сенсорной технологии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инфракрасная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Тип стилусов для работы с панелью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безбатарейный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Толщина панели, миллиметр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более 100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Условия эксплуатации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 помещении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Частота оперативной памяти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встроенного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вычислительного блока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3200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МГц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Ширина панели, миллиметр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&lt; 1500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Яркость экрана, кд/м2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Кд/м2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Прочность защитного стекла экрана, ед. по шкале Мооса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Толщина закаленного защитного стекла, миллиметр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Угол обзора экрана по горизонтали, градус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178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градус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Угол обзора экрана по вертикали, градус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178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градус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Суммарная мощность встроенной акустической системы, Ватт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30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Ватт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Адаптер беспроводной связи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Wi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-Fi стандарта 802.11a/b/g/n/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ac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работающий на частоте 2.4 и 5 ГГц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Расположение динамиков акустической системы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встроены в корпус панели (не имеют выступающих частей относительно габаритов корпуса)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динамиков акустической системы, штука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2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Мощность каждого динамика акустической системы, Ватт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менее 10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Ватт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Номинальная потребляемая мощность панели, Ватт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 более 320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Ватт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Максимальный размер оперативной памяти,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поддерживаемый  операционной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системой управляющего компьютера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Не менее 512 Гб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Поддержка переключения между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пользователями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операционной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системой управляющего компьютера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Встроенный интернет-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обозреватель  операционной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системы управляющего компьютера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Функция создания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логических групп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компьютеров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операционной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системы управляющего компьютера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pStyle w:val="9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Имеет функцию создания логических групп компьютеров с централизованной аутентификацией в едином каталоге учетных записей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Количество поддерживаемых физических вычислительных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процессоров  операционной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 системой управляющего компьютера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Не менее 2 штук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Руководство по эксплуатации Изделия в комплекте поставки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Программная оболочка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Программная оболочка представляет из себя программную среду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ПЭО должна быть постро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ена на клиент-серверной архитектуре. Сервер должен иметь возможность "отвечать" на запросы, как от одного клиента, так и от нескольких одновременно. Также сервер должен предоставлять возможность "выгрузки" данных в XML-формате. В качестве хранилища данных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должна использоваться СУБД Oracle (или аналогичную).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Для обеспечения безотказной работы ПЭО должна иметь возможность связи сетевых протоколов локально и через интернет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ПЭО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должна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поддерживать возможность развертывания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серверной части как локально, так и на удаленном устройстве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СЧПЭО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должна быть связан по HTTP-протоколу (или аналогу) и с клиентским интерфейсом, и с графическим пользовательским интерфейсом для выполнения функции администрирования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СЧПЭО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должна поддерживать режим работы 24/7 и должен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быть  настроен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на использование SSL-сертификатов для защиты от DDOS-атак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Поддержка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/>
              </w:rPr>
              <w:t xml:space="preserve">HAProxy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/>
              </w:rPr>
              <w:t xml:space="preserve">Lighttpf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/>
              </w:rPr>
              <w:t xml:space="preserve">Apache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или аналог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СЧПЭО должен предусматривать функционал мониторинга количества подключений в режиме реального времени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СЧПЭО должен присутствовать модуль блокировки доступа по IP-адресу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СЧПЭО должна поддерживать вариативность скриптовых языков для доработки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ПЭО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. Количество языков не менее 5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ККЧПЭО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должен обеспечивать минимальные характеристики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безопасности и настройки, такие как логин/пароль, список разрешенных/запрещенных адресов и создавать конфигурационный файл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Количество поддерживаемых БД не менее 5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КЧПЭО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должен обращаться к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СЧПЭО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за получением данных, созданных через административную панель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Административная панель должна быть реализована через интуитивно понятный русифицированный графический интерфейс, реализованный через веб-браузер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ПЭС должна быть зарегистрирована в реестре программ для ЭВМ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 графическом интерфейсе должен быть предусмотрен минимальный функционал – авторизация пользователя, активация ключа лицензии, информация о лицензии (возможные ограничения, количество лицензированных рабочих мест)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Административная панель должна поддерживать функционал ограничения/расширения прав доступа пользователей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Административная панель должна поддерживать настройку групп пользователей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Административная панель должна обеспечивать следующие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поля заполнения для пользователей: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-ФИО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-подтвержденный электронный адрес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- пароль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- принадлежность к группе пользователей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- прочие поля (по требованию)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Количество возможных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пользователей  не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менее 1000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Администрирование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ПЭО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должно быть доступным для обычного пользователя ПК, не обладающего специальными знаниями в IT-сфере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ПЭО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должна поддерживать функцию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en-US"/>
              </w:rPr>
              <w:t xml:space="preserve">Multilanguage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(Русский/английский)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ПЭО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должна поддерживать следующий минимальный функционал: предустановленные графические темы, страница, конструктор меню, функция УСУ, создание контента с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добавлением различных мультимедиа файлов, пользователи, настойка ролей, новостной раздел с категориями, раздел сотрудников с категориями, раздел услуг с категориями, настраиваемая функция слайдера, фото раздел, форма обратной связи, прочие (по требованию)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ПЭО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должна обеспечивать функционал по удалению/добавлению/редактированию разделов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ПЭО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должна обеспечивать функцию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preview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обеспечивающую предпросмотр редактируемого раздела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 функционал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ПЭО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должны обеспечивать сортировку добавляемой информации по заданным критериям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Создание разделов меню должно поддерживать следующий минимальный функционал: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  <w:p>
            <w:pPr>
              <w:pStyle w:val="889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Наименование раздела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  <w:p>
            <w:pPr>
              <w:pStyle w:val="889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/>
              </w:rPr>
              <w:t xml:space="preserve">URL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ссылка на раздел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  <w:p>
            <w:pPr>
              <w:pStyle w:val="889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Цветовое оформление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  <w:p>
            <w:pPr>
              <w:pStyle w:val="889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Заголовок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  <w:p>
            <w:pPr>
              <w:pStyle w:val="889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Медиаконтент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  <w:p>
            <w:pPr>
              <w:pStyle w:val="889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Описание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  <w:p>
            <w:pPr>
              <w:pStyle w:val="889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Статус активен/не активен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Категория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Наличие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4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Стойка напольная мобильная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Стойка напольная мобильная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Металлическая мобильная напольная стойка, с  универсальным креплением для дисплеев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Механиз для удержания дисплея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Регулируемые металлические рейки, с возможностью фиксации на различных расстояниях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Длина горизонтальных реек или платформы для удержания вертикальных реек с дисплеем, 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 менее 870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Длина вертикальных реек, используемых для крепления к дисплею, 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 менее 615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Поддерживаемые стандарты креплений VESA, 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 менее 100x100, 600х400, 800х400, 800х600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Максимальная высота стойки от пола до верхнего края вертикальной рейки, 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 менее 1700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Минимальная высота стойки от пола до нижнего края вертикальной рейки, 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 более 1300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Наличие колёс с фиксирующим механизмом для перемещения стойки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соответствие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Количество колёс, 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 менее 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Наличие полки для размещения оборудования или аксессуаров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соответствие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Расположение полки: под закрепленным дисплеем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соответствие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Ширина полки, 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 менее 250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Длина полки, 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 менее 620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Расстояние между колесами по ширине стойки, 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 менее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Расстояние между колесами по длине стойки, 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 менее 990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Максимально удерживаемый вес, кг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 менее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Вес стойки, кг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 более 35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spacing w:after="0" w:line="240" w:lineRule="auto"/>
        <w:tabs>
          <w:tab w:val="left" w:pos="4402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567" w:bottom="568" w:left="993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8</w:t>
    </w:r>
    <w:r>
      <w:fldChar w:fldCharType="end"/>
    </w:r>
    <w:r/>
  </w:p>
  <w:p>
    <w:pPr>
      <w:pStyle w:val="88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3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4">
    <w:name w:val="Heading 1 Char"/>
    <w:basedOn w:val="868"/>
    <w:link w:val="867"/>
    <w:uiPriority w:val="9"/>
    <w:rPr>
      <w:rFonts w:ascii="Arial" w:hAnsi="Arial" w:eastAsia="Arial" w:cs="Arial"/>
      <w:sz w:val="40"/>
      <w:szCs w:val="40"/>
    </w:rPr>
  </w:style>
  <w:style w:type="paragraph" w:styleId="695">
    <w:name w:val="Heading 2"/>
    <w:basedOn w:val="866"/>
    <w:next w:val="866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6">
    <w:name w:val="Heading 2 Char"/>
    <w:basedOn w:val="868"/>
    <w:link w:val="695"/>
    <w:uiPriority w:val="9"/>
    <w:rPr>
      <w:rFonts w:ascii="Arial" w:hAnsi="Arial" w:eastAsia="Arial" w:cs="Arial"/>
      <w:sz w:val="34"/>
    </w:rPr>
  </w:style>
  <w:style w:type="paragraph" w:styleId="697">
    <w:name w:val="Heading 3"/>
    <w:basedOn w:val="866"/>
    <w:next w:val="866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8">
    <w:name w:val="Heading 3 Char"/>
    <w:basedOn w:val="868"/>
    <w:link w:val="697"/>
    <w:uiPriority w:val="9"/>
    <w:rPr>
      <w:rFonts w:ascii="Arial" w:hAnsi="Arial" w:eastAsia="Arial" w:cs="Arial"/>
      <w:sz w:val="30"/>
      <w:szCs w:val="30"/>
    </w:rPr>
  </w:style>
  <w:style w:type="paragraph" w:styleId="699">
    <w:name w:val="Heading 4"/>
    <w:basedOn w:val="866"/>
    <w:next w:val="866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0">
    <w:name w:val="Heading 4 Char"/>
    <w:basedOn w:val="868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basedOn w:val="866"/>
    <w:next w:val="866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2">
    <w:name w:val="Heading 5 Char"/>
    <w:basedOn w:val="868"/>
    <w:link w:val="701"/>
    <w:uiPriority w:val="9"/>
    <w:rPr>
      <w:rFonts w:ascii="Arial" w:hAnsi="Arial" w:eastAsia="Arial" w:cs="Arial"/>
      <w:b/>
      <w:bCs/>
      <w:sz w:val="24"/>
      <w:szCs w:val="24"/>
    </w:rPr>
  </w:style>
  <w:style w:type="paragraph" w:styleId="703">
    <w:name w:val="Heading 6"/>
    <w:basedOn w:val="866"/>
    <w:next w:val="866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4">
    <w:name w:val="Heading 6 Char"/>
    <w:basedOn w:val="868"/>
    <w:link w:val="703"/>
    <w:uiPriority w:val="9"/>
    <w:rPr>
      <w:rFonts w:ascii="Arial" w:hAnsi="Arial" w:eastAsia="Arial" w:cs="Arial"/>
      <w:b/>
      <w:bCs/>
      <w:sz w:val="22"/>
      <w:szCs w:val="22"/>
    </w:rPr>
  </w:style>
  <w:style w:type="paragraph" w:styleId="705">
    <w:name w:val="Heading 7"/>
    <w:basedOn w:val="866"/>
    <w:next w:val="866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6">
    <w:name w:val="Heading 7 Char"/>
    <w:basedOn w:val="868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866"/>
    <w:next w:val="866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8">
    <w:name w:val="Heading 8 Char"/>
    <w:basedOn w:val="868"/>
    <w:link w:val="707"/>
    <w:uiPriority w:val="9"/>
    <w:rPr>
      <w:rFonts w:ascii="Arial" w:hAnsi="Arial" w:eastAsia="Arial" w:cs="Arial"/>
      <w:i/>
      <w:iCs/>
      <w:sz w:val="22"/>
      <w:szCs w:val="22"/>
    </w:rPr>
  </w:style>
  <w:style w:type="paragraph" w:styleId="709">
    <w:name w:val="Heading 9"/>
    <w:basedOn w:val="866"/>
    <w:next w:val="866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>
    <w:name w:val="Heading 9 Char"/>
    <w:basedOn w:val="868"/>
    <w:link w:val="709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No Spacing"/>
    <w:uiPriority w:val="1"/>
    <w:qFormat/>
    <w:pPr>
      <w:spacing w:before="0" w:after="0" w:line="240" w:lineRule="auto"/>
    </w:pPr>
  </w:style>
  <w:style w:type="paragraph" w:styleId="712">
    <w:name w:val="Title"/>
    <w:basedOn w:val="866"/>
    <w:next w:val="866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basedOn w:val="868"/>
    <w:link w:val="712"/>
    <w:uiPriority w:val="10"/>
    <w:rPr>
      <w:sz w:val="48"/>
      <w:szCs w:val="48"/>
    </w:rPr>
  </w:style>
  <w:style w:type="paragraph" w:styleId="714">
    <w:name w:val="Subtitle"/>
    <w:basedOn w:val="866"/>
    <w:next w:val="866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basedOn w:val="868"/>
    <w:link w:val="714"/>
    <w:uiPriority w:val="11"/>
    <w:rPr>
      <w:sz w:val="24"/>
      <w:szCs w:val="24"/>
    </w:rPr>
  </w:style>
  <w:style w:type="paragraph" w:styleId="716">
    <w:name w:val="Quote"/>
    <w:basedOn w:val="866"/>
    <w:next w:val="866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66"/>
    <w:next w:val="866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character" w:styleId="720">
    <w:name w:val="Header Char"/>
    <w:basedOn w:val="868"/>
    <w:link w:val="879"/>
    <w:uiPriority w:val="99"/>
  </w:style>
  <w:style w:type="character" w:styleId="721">
    <w:name w:val="Footer Char"/>
    <w:basedOn w:val="868"/>
    <w:link w:val="881"/>
    <w:uiPriority w:val="99"/>
  </w:style>
  <w:style w:type="paragraph" w:styleId="722">
    <w:name w:val="Caption"/>
    <w:basedOn w:val="866"/>
    <w:next w:val="8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3">
    <w:name w:val="Caption Char"/>
    <w:basedOn w:val="722"/>
    <w:link w:val="881"/>
    <w:uiPriority w:val="99"/>
  </w:style>
  <w:style w:type="table" w:styleId="724">
    <w:name w:val="Table Grid Light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Plain Table 1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2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>
    <w:name w:val="Plain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Plain Table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>
    <w:name w:val="Grid Table 4 - Accent 1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3">
    <w:name w:val="Grid Table 4 - Accent 2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4">
    <w:name w:val="Grid Table 4 - Accent 3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5">
    <w:name w:val="Grid Table 4 - Accent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6">
    <w:name w:val="Grid Table 4 - Accent 5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7">
    <w:name w:val="Grid Table 4 - Accent 6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8">
    <w:name w:val="Grid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5">
    <w:name w:val="Grid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6">
    <w:name w:val="Grid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7">
    <w:name w:val="Grid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8">
    <w:name w:val="Grid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9">
    <w:name w:val="Grid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0">
    <w:name w:val="Grid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7">
    <w:name w:val="List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8">
    <w:name w:val="List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9">
    <w:name w:val="List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0">
    <w:name w:val="List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1">
    <w:name w:val="List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2">
    <w:name w:val="List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3">
    <w:name w:val="List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5">
    <w:name w:val="List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6">
    <w:name w:val="List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List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8">
    <w:name w:val="List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List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0">
    <w:name w:val="List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1">
    <w:name w:val="List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2">
    <w:name w:val="List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3">
    <w:name w:val="List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4">
    <w:name w:val="List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5">
    <w:name w:val="List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6">
    <w:name w:val="List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7">
    <w:name w:val="List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8">
    <w:name w:val="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0">
    <w:name w:val="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1">
    <w:name w:val="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2">
    <w:name w:val="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3">
    <w:name w:val="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4">
    <w:name w:val="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5">
    <w:name w:val="Bordered &amp; 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Bordered &amp; 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Bordered &amp; 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Bordered &amp; 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Bordered &amp; 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Bordered &amp; 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Bordered &amp; 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3">
    <w:name w:val="Bordered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4">
    <w:name w:val="Bordered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5">
    <w:name w:val="Bordered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6">
    <w:name w:val="Bordered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7">
    <w:name w:val="Bordered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8">
    <w:name w:val="Bordered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9">
    <w:name w:val="footnote text"/>
    <w:basedOn w:val="866"/>
    <w:link w:val="850"/>
    <w:uiPriority w:val="99"/>
    <w:semiHidden/>
    <w:unhideWhenUsed/>
    <w:pPr>
      <w:spacing w:after="40" w:line="240" w:lineRule="auto"/>
    </w:pPr>
    <w:rPr>
      <w:sz w:val="18"/>
    </w:rPr>
  </w:style>
  <w:style w:type="character" w:styleId="850">
    <w:name w:val="Footnote Text Char"/>
    <w:link w:val="849"/>
    <w:uiPriority w:val="99"/>
    <w:rPr>
      <w:sz w:val="18"/>
    </w:rPr>
  </w:style>
  <w:style w:type="character" w:styleId="851">
    <w:name w:val="footnote reference"/>
    <w:basedOn w:val="868"/>
    <w:uiPriority w:val="99"/>
    <w:unhideWhenUsed/>
    <w:rPr>
      <w:vertAlign w:val="superscript"/>
    </w:rPr>
  </w:style>
  <w:style w:type="paragraph" w:styleId="852">
    <w:name w:val="endnote text"/>
    <w:basedOn w:val="866"/>
    <w:link w:val="853"/>
    <w:uiPriority w:val="99"/>
    <w:semiHidden/>
    <w:unhideWhenUsed/>
    <w:pPr>
      <w:spacing w:after="0" w:line="240" w:lineRule="auto"/>
    </w:pPr>
    <w:rPr>
      <w:sz w:val="20"/>
    </w:rPr>
  </w:style>
  <w:style w:type="character" w:styleId="853">
    <w:name w:val="Endnote Text Char"/>
    <w:link w:val="852"/>
    <w:uiPriority w:val="99"/>
    <w:rPr>
      <w:sz w:val="20"/>
    </w:rPr>
  </w:style>
  <w:style w:type="character" w:styleId="854">
    <w:name w:val="endnote reference"/>
    <w:basedOn w:val="868"/>
    <w:uiPriority w:val="99"/>
    <w:semiHidden/>
    <w:unhideWhenUsed/>
    <w:rPr>
      <w:vertAlign w:val="superscript"/>
    </w:rPr>
  </w:style>
  <w:style w:type="paragraph" w:styleId="855">
    <w:name w:val="toc 1"/>
    <w:basedOn w:val="866"/>
    <w:next w:val="866"/>
    <w:uiPriority w:val="39"/>
    <w:unhideWhenUsed/>
    <w:pPr>
      <w:ind w:left="0" w:right="0" w:firstLine="0"/>
      <w:spacing w:after="57"/>
    </w:pPr>
  </w:style>
  <w:style w:type="paragraph" w:styleId="856">
    <w:name w:val="toc 2"/>
    <w:basedOn w:val="866"/>
    <w:next w:val="866"/>
    <w:uiPriority w:val="39"/>
    <w:unhideWhenUsed/>
    <w:pPr>
      <w:ind w:left="283" w:right="0" w:firstLine="0"/>
      <w:spacing w:after="57"/>
    </w:pPr>
  </w:style>
  <w:style w:type="paragraph" w:styleId="857">
    <w:name w:val="toc 3"/>
    <w:basedOn w:val="866"/>
    <w:next w:val="866"/>
    <w:uiPriority w:val="39"/>
    <w:unhideWhenUsed/>
    <w:pPr>
      <w:ind w:left="567" w:right="0" w:firstLine="0"/>
      <w:spacing w:after="57"/>
    </w:pPr>
  </w:style>
  <w:style w:type="paragraph" w:styleId="858">
    <w:name w:val="toc 4"/>
    <w:basedOn w:val="866"/>
    <w:next w:val="866"/>
    <w:uiPriority w:val="39"/>
    <w:unhideWhenUsed/>
    <w:pPr>
      <w:ind w:left="850" w:right="0" w:firstLine="0"/>
      <w:spacing w:after="57"/>
    </w:pPr>
  </w:style>
  <w:style w:type="paragraph" w:styleId="859">
    <w:name w:val="toc 5"/>
    <w:basedOn w:val="866"/>
    <w:next w:val="866"/>
    <w:uiPriority w:val="39"/>
    <w:unhideWhenUsed/>
    <w:pPr>
      <w:ind w:left="1134" w:right="0" w:firstLine="0"/>
      <w:spacing w:after="57"/>
    </w:pPr>
  </w:style>
  <w:style w:type="paragraph" w:styleId="860">
    <w:name w:val="toc 6"/>
    <w:basedOn w:val="866"/>
    <w:next w:val="866"/>
    <w:uiPriority w:val="39"/>
    <w:unhideWhenUsed/>
    <w:pPr>
      <w:ind w:left="1417" w:right="0" w:firstLine="0"/>
      <w:spacing w:after="57"/>
    </w:pPr>
  </w:style>
  <w:style w:type="paragraph" w:styleId="861">
    <w:name w:val="toc 7"/>
    <w:basedOn w:val="866"/>
    <w:next w:val="866"/>
    <w:uiPriority w:val="39"/>
    <w:unhideWhenUsed/>
    <w:pPr>
      <w:ind w:left="1701" w:right="0" w:firstLine="0"/>
      <w:spacing w:after="57"/>
    </w:pPr>
  </w:style>
  <w:style w:type="paragraph" w:styleId="862">
    <w:name w:val="toc 8"/>
    <w:basedOn w:val="866"/>
    <w:next w:val="866"/>
    <w:uiPriority w:val="39"/>
    <w:unhideWhenUsed/>
    <w:pPr>
      <w:ind w:left="1984" w:right="0" w:firstLine="0"/>
      <w:spacing w:after="57"/>
    </w:pPr>
  </w:style>
  <w:style w:type="paragraph" w:styleId="863">
    <w:name w:val="toc 9"/>
    <w:basedOn w:val="866"/>
    <w:next w:val="866"/>
    <w:uiPriority w:val="39"/>
    <w:unhideWhenUsed/>
    <w:pPr>
      <w:ind w:left="2268" w:right="0" w:firstLine="0"/>
      <w:spacing w:after="57"/>
    </w:pPr>
  </w:style>
  <w:style w:type="paragraph" w:styleId="864">
    <w:name w:val="TOC Heading"/>
    <w:uiPriority w:val="39"/>
    <w:unhideWhenUsed/>
  </w:style>
  <w:style w:type="paragraph" w:styleId="865">
    <w:name w:val="table of figures"/>
    <w:basedOn w:val="866"/>
    <w:next w:val="866"/>
    <w:uiPriority w:val="99"/>
    <w:unhideWhenUsed/>
    <w:pPr>
      <w:spacing w:after="0" w:afterAutospacing="0"/>
    </w:pPr>
  </w:style>
  <w:style w:type="paragraph" w:styleId="866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867">
    <w:name w:val="Heading 1"/>
    <w:basedOn w:val="866"/>
    <w:link w:val="893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sz w:val="48"/>
      <w:szCs w:val="48"/>
    </w:rPr>
  </w:style>
  <w:style w:type="character" w:styleId="868" w:default="1">
    <w:name w:val="Default Paragraph Font"/>
    <w:uiPriority w:val="1"/>
    <w:semiHidden/>
    <w:unhideWhenUsed/>
  </w:style>
  <w:style w:type="table" w:styleId="8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0" w:default="1">
    <w:name w:val="No List"/>
    <w:uiPriority w:val="99"/>
    <w:semiHidden/>
    <w:unhideWhenUsed/>
  </w:style>
  <w:style w:type="table" w:styleId="871">
    <w:name w:val="Table Grid"/>
    <w:basedOn w:val="86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2" w:customStyle="1">
    <w:name w:val="Абзац списка1"/>
    <w:basedOn w:val="866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73">
    <w:name w:val="Body Text Indent"/>
    <w:basedOn w:val="866"/>
    <w:link w:val="874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character" w:styleId="874" w:customStyle="1">
    <w:name w:val="Основной текст с отступом Знак"/>
    <w:link w:val="873"/>
    <w:rPr>
      <w:rFonts w:ascii="Times New Roman" w:hAnsi="Times New Roman" w:eastAsia="Times New Roman"/>
      <w:sz w:val="24"/>
      <w:szCs w:val="24"/>
    </w:rPr>
  </w:style>
  <w:style w:type="paragraph" w:styleId="875">
    <w:name w:val="Balloon Text"/>
    <w:basedOn w:val="866"/>
    <w:link w:val="876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876" w:customStyle="1">
    <w:name w:val="Текст выноски Знак"/>
    <w:link w:val="875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77" w:customStyle="1">
    <w:name w:val="Стиль3"/>
    <w:basedOn w:val="866"/>
    <w:link w:val="878"/>
    <w:pPr>
      <w:ind w:firstLine="567"/>
      <w:jc w:val="both"/>
      <w:keepLines/>
      <w:spacing w:after="0" w:line="360" w:lineRule="auto"/>
    </w:pPr>
    <w:rPr>
      <w:rFonts w:ascii="Arial" w:hAnsi="Arial" w:eastAsia="Times New Roman"/>
    </w:rPr>
  </w:style>
  <w:style w:type="character" w:styleId="878" w:customStyle="1">
    <w:name w:val="Стиль3 Знак"/>
    <w:link w:val="877"/>
    <w:rPr>
      <w:rFonts w:ascii="Arial" w:hAnsi="Arial" w:eastAsia="Times New Roman" w:cs="Arial"/>
      <w:sz w:val="22"/>
      <w:szCs w:val="22"/>
    </w:rPr>
  </w:style>
  <w:style w:type="paragraph" w:styleId="879">
    <w:name w:val="Header"/>
    <w:basedOn w:val="866"/>
    <w:link w:val="88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0" w:customStyle="1">
    <w:name w:val="Верхний колонтитул Знак"/>
    <w:link w:val="879"/>
    <w:uiPriority w:val="99"/>
    <w:rPr>
      <w:sz w:val="22"/>
      <w:szCs w:val="22"/>
      <w:lang w:eastAsia="en-US"/>
    </w:rPr>
  </w:style>
  <w:style w:type="paragraph" w:styleId="881">
    <w:name w:val="Footer"/>
    <w:basedOn w:val="866"/>
    <w:link w:val="88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2" w:customStyle="1">
    <w:name w:val="Нижний колонтитул Знак"/>
    <w:link w:val="881"/>
    <w:uiPriority w:val="99"/>
    <w:rPr>
      <w:sz w:val="22"/>
      <w:szCs w:val="22"/>
      <w:lang w:eastAsia="en-US"/>
    </w:rPr>
  </w:style>
  <w:style w:type="character" w:styleId="883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84">
    <w:name w:val="annotation reference"/>
    <w:uiPriority w:val="99"/>
    <w:semiHidden/>
    <w:unhideWhenUsed/>
    <w:rPr>
      <w:sz w:val="16"/>
      <w:szCs w:val="16"/>
    </w:rPr>
  </w:style>
  <w:style w:type="paragraph" w:styleId="885">
    <w:name w:val="annotation text"/>
    <w:basedOn w:val="866"/>
    <w:link w:val="886"/>
    <w:uiPriority w:val="99"/>
    <w:semiHidden/>
    <w:unhideWhenUsed/>
    <w:rPr>
      <w:sz w:val="20"/>
      <w:szCs w:val="20"/>
    </w:rPr>
  </w:style>
  <w:style w:type="character" w:styleId="886" w:customStyle="1">
    <w:name w:val="Текст примечания Знак"/>
    <w:link w:val="885"/>
    <w:uiPriority w:val="99"/>
    <w:semiHidden/>
    <w:rPr>
      <w:lang w:eastAsia="en-US"/>
    </w:rPr>
  </w:style>
  <w:style w:type="paragraph" w:styleId="887">
    <w:name w:val="annotation subject"/>
    <w:basedOn w:val="885"/>
    <w:next w:val="885"/>
    <w:link w:val="888"/>
    <w:uiPriority w:val="99"/>
    <w:semiHidden/>
    <w:unhideWhenUsed/>
    <w:rPr>
      <w:b/>
      <w:bCs/>
    </w:rPr>
  </w:style>
  <w:style w:type="character" w:styleId="888" w:customStyle="1">
    <w:name w:val="Тема примечания Знак"/>
    <w:link w:val="887"/>
    <w:uiPriority w:val="99"/>
    <w:semiHidden/>
    <w:rPr>
      <w:b/>
      <w:bCs/>
      <w:lang w:eastAsia="en-US"/>
    </w:rPr>
  </w:style>
  <w:style w:type="paragraph" w:styleId="889">
    <w:name w:val="List Paragraph"/>
    <w:basedOn w:val="866"/>
    <w:uiPriority w:val="34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0">
    <w:name w:val="Plain Text"/>
    <w:basedOn w:val="866"/>
    <w:link w:val="891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styleId="891" w:customStyle="1">
    <w:name w:val="Текст Знак"/>
    <w:link w:val="890"/>
    <w:uiPriority w:val="99"/>
    <w:rPr>
      <w:rFonts w:eastAsia="Times New Roman" w:cs="Times New Roman"/>
      <w:sz w:val="22"/>
      <w:szCs w:val="21"/>
      <w:lang w:eastAsia="en-US"/>
    </w:rPr>
  </w:style>
  <w:style w:type="character" w:styleId="892">
    <w:name w:val="Hyperlink"/>
    <w:uiPriority w:val="99"/>
    <w:unhideWhenUsed/>
    <w:rPr>
      <w:color w:val="0000ff"/>
      <w:u w:val="single"/>
    </w:rPr>
  </w:style>
  <w:style w:type="character" w:styleId="893" w:customStyle="1">
    <w:name w:val="Заголовок 1 Знак"/>
    <w:link w:val="867"/>
    <w:uiPriority w:val="9"/>
    <w:rPr>
      <w:rFonts w:ascii="Times New Roman" w:hAnsi="Times New Roman" w:eastAsia="Times New Roman"/>
      <w:b/>
      <w:bCs/>
      <w:sz w:val="48"/>
      <w:szCs w:val="48"/>
    </w:rPr>
  </w:style>
  <w:style w:type="character" w:styleId="894" w:customStyle="1">
    <w:name w:val="holder-article"/>
    <w:basedOn w:val="868"/>
  </w:style>
  <w:style w:type="character" w:styleId="895" w:customStyle="1">
    <w:name w:val="holder-desc"/>
    <w:basedOn w:val="868"/>
  </w:style>
  <w:style w:type="character" w:styleId="896" w:customStyle="1">
    <w:name w:val="b-filters__label_name"/>
    <w:basedOn w:val="868"/>
  </w:style>
  <w:style w:type="character" w:styleId="897">
    <w:name w:val="Strong"/>
    <w:uiPriority w:val="22"/>
    <w:qFormat/>
    <w:rPr>
      <w:b/>
      <w:bCs/>
    </w:rPr>
  </w:style>
  <w:style w:type="character" w:styleId="898" w:customStyle="1">
    <w:name w:val="apple-converted-space"/>
    <w:basedOn w:val="868"/>
  </w:style>
  <w:style w:type="character" w:styleId="899" w:customStyle="1">
    <w:name w:val="Неразрешенное упоминание1"/>
    <w:basedOn w:val="868"/>
    <w:uiPriority w:val="99"/>
    <w:semiHidden/>
    <w:unhideWhenUsed/>
    <w:rPr>
      <w:color w:val="605e5c"/>
      <w:shd w:val="clear" w:color="auto" w:fill="e1dfdd"/>
    </w:rPr>
  </w:style>
  <w:style w:type="character" w:styleId="900">
    <w:name w:val="Unresolved Mention"/>
    <w:basedOn w:val="868"/>
    <w:uiPriority w:val="99"/>
    <w:semiHidden/>
    <w:unhideWhenUsed/>
    <w:rPr>
      <w:color w:val="605e5c"/>
      <w:shd w:val="clear" w:color="auto" w:fill="e1dfdd"/>
    </w:rPr>
  </w:style>
  <w:style w:type="paragraph" w:styleId="901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EastAsi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DC1D2-82BA-4F8E-B6F2-1A33A7937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240</cp:revision>
  <dcterms:created xsi:type="dcterms:W3CDTF">2019-04-04T07:01:00Z</dcterms:created>
  <dcterms:modified xsi:type="dcterms:W3CDTF">2024-07-18T04:40:14Z</dcterms:modified>
</cp:coreProperties>
</file>